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Dr. Stephen Lewarne</w:t>
      </w:r>
      <w:r>
        <w:rPr>
          <w:b/>
          <w:sz w:val="24"/>
        </w:rPr>
        <w:br/>
        <w:t>Professor of Finance and Economics</w:t>
        <w:br/>
        <w:t>Franciscan University of Steubenville, Ohio</w:t>
      </w:r>
    </w:p>
    <w:p>
      <w:pPr>
        <w:jc w:val="center"/>
      </w:pPr>
      <w:r>
        <w:rPr>
          <w:sz w:val="20"/>
        </w:rPr>
        <w:t>📧 slewarne@franciscan.edu | 📞 +1 (571) 888-2614 | 🌐 LinkedIn: linkedin.com/in/stephen-lewarne</w:t>
      </w:r>
    </w:p>
    <w:p>
      <w:pPr>
        <w:jc w:val="center"/>
      </w:pPr>
      <w:r>
        <w:rPr>
          <w:b/>
          <w:sz w:val="28"/>
        </w:rPr>
        <w:t>Profile</w:t>
      </w:r>
    </w:p>
    <w:p>
      <w:r>
        <w:t>Accomplished economist and educator with over 30 years of experience spanning academia, international development, fiscal policy, and macroeconomic reform. Dedicated to integrating Catholic social teaching and ethical leadership in economics education. Former senior partner at Deloitte Consulting and senior fiscal economist at USAID, with extensive field experience in post-conflict reconstruction, public financial management, and institutional capacity building across more than 25 countries.</w:t>
      </w:r>
    </w:p>
    <w:p>
      <w:pPr>
        <w:jc w:val="center"/>
      </w:pPr>
      <w:r>
        <w:rPr>
          <w:b/>
          <w:sz w:val="28"/>
        </w:rPr>
        <w:t>Academic Appointment</w:t>
      </w:r>
    </w:p>
    <w:p>
      <w:r>
        <w:t>Franciscan University of Steubenville, Ohio</w:t>
        <w:br/>
        <w:t>Professor of Finance and Economics | 2025–Present</w:t>
        <w:br/>
        <w:t>Courses Taught:</w:t>
        <w:br/>
        <w:t>- Corporate Finance (Valuation, Capital Budgeting, Market Efficiency)</w:t>
        <w:br/>
        <w:t>- Macroeconomics (Monetary Policy, Trade, Open Economy, Equilibrium Analysis)</w:t>
        <w:br/>
        <w:t>- Microeconomics (Welfare Economics, Industrial Organization, Labor and Income Inequality)</w:t>
      </w:r>
    </w:p>
    <w:p>
      <w:pPr>
        <w:jc w:val="center"/>
      </w:pPr>
      <w:r>
        <w:rPr>
          <w:b/>
          <w:sz w:val="28"/>
        </w:rPr>
        <w:t>Education</w:t>
      </w:r>
    </w:p>
    <w:p>
      <w:r>
        <w:t>Ph.D., Economics – Indiana University, Bloomington, IN (1992)</w:t>
        <w:br/>
        <w:t>M.A., Economics – Indiana University, Bloomington, IN (1991)</w:t>
        <w:br/>
        <w:t>M.A., Russian Studies – Carleton University, Ottawa, Canada (1986)</w:t>
        <w:br/>
        <w:t>B.A., Russian Studies – Carleton University, Ottawa, Canada (1984)</w:t>
      </w:r>
    </w:p>
    <w:p>
      <w:pPr>
        <w:jc w:val="center"/>
      </w:pPr>
      <w:r>
        <w:rPr>
          <w:b/>
          <w:sz w:val="28"/>
        </w:rPr>
        <w:t>Selected Academic Publications &amp; Research</w:t>
      </w:r>
    </w:p>
    <w:p>
      <w:r>
        <w:t>• “An Expository Model of Credit Rationing,” Journal of Macroeconomics (1992, with Christopher Waller – Federal Reserve Governor)</w:t>
        <w:br/>
        <w:t>• Soviet Oil: The Move Offshore, Westview Press, 1988</w:t>
        <w:br/>
        <w:t>• Economic Governance in War-Torn Economies: Lessons from the Marshall Plan to the War in Iraq, USAID Policy and Planning Bureau, 2004</w:t>
        <w:br/>
        <w:t>• Universal Health Coverage: Manifest Destiny or Sisyphean Pursuit?, Journal of Global Health, University of Edinburgh (2021)</w:t>
        <w:br/>
        <w:t>• To Aid Reconstruction, Ukraine Should Officially Adopt the Euro, Real Clear Markets (2023)</w:t>
        <w:br/>
        <w:t>Full list of publications available at: linkedin.com/in/stephen-lewarne</w:t>
      </w:r>
    </w:p>
    <w:p>
      <w:pPr>
        <w:jc w:val="center"/>
      </w:pPr>
      <w:r>
        <w:rPr>
          <w:b/>
          <w:sz w:val="28"/>
        </w:rPr>
        <w:t>Professional Experience</w:t>
      </w:r>
    </w:p>
    <w:p>
      <w:r>
        <w:t>Senior Fiscal Economist / Adviser – USAID / Department of State, Washington, D.C. | 2024–2025</w:t>
        <w:br/>
        <w:t>- Designed and implemented USAID’s global Public Financial Management programming.</w:t>
        <w:br/>
        <w:t>- Advised senior U.S. officials and multilateral institutions on fiscal stability, governance, and macroeconomic reform.</w:t>
        <w:br/>
        <w:t>- Coordinated with IMF and World Bank teams on fiscal and monetary policy strategies.</w:t>
        <w:br/>
        <w:br/>
        <w:t>Senior Partner – Deloitte Consulting, Rosslyn, VA | 2010–2023</w:t>
        <w:br/>
        <w:t>- Led Deloitte’s Applied Economics and Public Financial Management practice.</w:t>
        <w:br/>
        <w:t>- Directed large-scale reconstruction and governance programs in Ukraine, Iraq, Afghanistan, and Liberia.</w:t>
        <w:br/>
        <w:t>- Served as Chief Economist for major U.S. Government and World Bank initiatives on fiscal reform, trade policy, and health economics.</w:t>
        <w:br/>
        <w:br/>
        <w:t>Executive Vice President – AECOM International, Arlington, VA | 2001–2010</w:t>
        <w:br/>
        <w:t>- Managed economic growth and reform programs in Afghanistan, Iraq, Jordan, and Colombia.</w:t>
        <w:br/>
        <w:t>- Oversaw design of macroeconomic stabilization and public investment strategies.</w:t>
        <w:br/>
        <w:br/>
        <w:t>Chief of Party – Kosovo Economic Reconstruction, Deloitte Consulting / UN Mission in Kosovo | 1999–2001</w:t>
        <w:br/>
        <w:t>- Appointed Minister of Reconstruction under the UN Administration.</w:t>
        <w:br/>
        <w:t>- Designed Kosovo’s first national reconstruction budget.</w:t>
        <w:br/>
        <w:br/>
        <w:t>Early Career:</w:t>
        <w:br/>
        <w:t>- Economic Adviser, President of Kazakhstan (WTO Accession Program) – Booz Allen Hamilton (1997–1998)</w:t>
        <w:br/>
        <w:t>- Chief of Party, Monetary Reform – Central Bank of Kazakhstan (1994–1996)</w:t>
        <w:br/>
        <w:t>- Fiscal Policy Adviser – Ministry of Finance, Kyrgyz Republic (1993–1994)</w:t>
        <w:br/>
        <w:t>- Assistant Professor – Moscow State University, Bates College, Indiana University (1989–1992)</w:t>
        <w:br/>
        <w:t>- Staff Economist – Investment Canada (1984–1988)</w:t>
      </w:r>
    </w:p>
    <w:p>
      <w:pPr>
        <w:jc w:val="center"/>
      </w:pPr>
      <w:r>
        <w:rPr>
          <w:b/>
          <w:sz w:val="28"/>
        </w:rPr>
        <w:t>Awards &amp; Honors</w:t>
      </w:r>
    </w:p>
    <w:p>
      <w:r>
        <w:t>• Miller Award, Most Outstanding Foreign Graduate Student – Indiana University (1991)</w:t>
        <w:br/>
        <w:t>• UN Appointed Minister of Reconstruction, Kosovo (1999–2001)</w:t>
        <w:br/>
        <w:t>• Senior U.S. Government Secret Security Clearance</w:t>
      </w:r>
    </w:p>
    <w:p>
      <w:pPr>
        <w:jc w:val="center"/>
      </w:pPr>
      <w:r>
        <w:rPr>
          <w:b/>
          <w:sz w:val="28"/>
        </w:rPr>
        <w:t>Selected Speaking Engagements</w:t>
      </w:r>
    </w:p>
    <w:p>
      <w:r>
        <w:t>• “The Reconstruction of War-Torn Economies” – Franciscan University Leadership Institute, 2024</w:t>
        <w:br/>
        <w:t>• “Ukraine Reconstruction: Historical Lessons for the Future” – Franciscan University Leadership Institute, 2024</w:t>
      </w:r>
    </w:p>
    <w:p>
      <w:pPr>
        <w:jc w:val="center"/>
      </w:pPr>
      <w:r>
        <w:rPr>
          <w:b/>
          <w:sz w:val="28"/>
        </w:rPr>
        <w:t>Service and Mission</w:t>
      </w:r>
    </w:p>
    <w:p>
      <w:r>
        <w:t>Dedicated to mentoring students in ethical economic leadership through the lens of Catholic social thought—emphasizing human dignity, stewardship, and the moral responsibilities of economic systems.</w:t>
      </w:r>
    </w:p>
    <w:p>
      <w:pPr>
        <w:jc w:val="center"/>
      </w:pPr>
      <w:r>
        <w:rPr>
          <w:b/>
          <w:sz w:val="28"/>
        </w:rPr>
        <w:t>Languages</w:t>
      </w:r>
    </w:p>
    <w:p>
      <w:r>
        <w:t>English – Native</w:t>
        <w:br/>
        <w:t>Russian – Conversational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